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Follow-up Protocol for Children with Meningocele &amp; Myelomeningocele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01.0" w:type="dxa"/>
        <w:jc w:val="left"/>
        <w:tblInd w:w="28.000000000000007" w:type="dxa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9401"/>
        <w:tblGridChange w:id="0">
          <w:tblGrid>
            <w:gridCol w:w="9401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0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(1)  KIDNEY PROTECTION PROGRAMME (ages 0-3 years)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60" w:lineRule="auto"/>
        <w:rPr>
          <w:rFonts w:ascii="Calibri" w:cs="Calibri" w:eastAsia="Calibri" w:hAnsi="Calibri"/>
          <w:b w:val="1"/>
          <w:bCs w:val="1"/>
          <w:color w:val="fa10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At first contact (usually admission for surgery)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General education about spina bifida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Start CIC training five times per day (catheter size 8 for neonates; otherwise according to age, using largest possible size)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Commence intravesical oxybutynin 0.2mg/kg BD in all patients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Urine assessment: clear or cloudy </w:t>
      </w:r>
      <w:r w:rsidDel="00000000" w:rsidR="00000000" w:rsidRPr="00000000">
        <w:rPr>
          <w:rFonts w:ascii="Symbol" w:cs="Symbol" w:eastAsia="Symbol" w:hAnsi="Symbol"/>
          <w:color w:val="000000"/>
          <w:rtl w:val="0"/>
        </w:rPr>
        <w:t xml:space="preserve">±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urine dipstick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Give measuring bottle and volume chart to caretaker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Baseline renal tract ultrasound scan (not essential if under three months of age)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Review skin 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Monitor head circumference and plot on chart in SHIP passport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Baseline cranial ultrasound scan (if fontanelle open)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Physiotherapy review &amp; plan for orthopaedic deformities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Supply folic acid for mother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 to local support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Other general health advice: mosquito net, vaccinations, nutrition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2-3 weeks post-op visit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for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Suture removal and review of incision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Evaluation for hydrocephalus &amp; plot head circumference on chart in SHIP passport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Reinforce CIC technique &amp; documentation of urine volumes 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Urine assessment: clear or cloudy </w:t>
      </w:r>
      <w:r w:rsidDel="00000000" w:rsidR="00000000" w:rsidRPr="00000000">
        <w:rPr>
          <w:rFonts w:ascii="Symbol" w:cs="Symbol" w:eastAsia="Symbol" w:hAnsi="Symbol"/>
          <w:color w:val="000000"/>
          <w:rtl w:val="0"/>
        </w:rPr>
        <w:t xml:space="preserve">±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urine dipstick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General health advice: mosquito net, vaccinations, nutrition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Follow up at 3 months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for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Reinforce CIC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technique; assess bladder volumes and pressure (&amp; is the child wet or dry?); increase catheter size as required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Urine assessment: clear or cloudy </w:t>
      </w:r>
      <w:r w:rsidDel="00000000" w:rsidR="00000000" w:rsidRPr="00000000">
        <w:rPr>
          <w:rFonts w:ascii="Symbol" w:cs="Symbol" w:eastAsia="Symbol" w:hAnsi="Symbol"/>
          <w:color w:val="000000"/>
          <w:rtl w:val="0"/>
        </w:rPr>
        <w:t xml:space="preserve">±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urine dipstick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Renal tract ultrasound: presence of hydronephrosis Y/N, deteriorating or improving? (document result in SHIP passport)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Assess for constipation, dietary advice, laxatives as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Evaluation for hydrocephalus &amp; plot head circumference on chart in SHIP passport; check shunt function (</w:t>
      </w:r>
      <w:r w:rsidDel="00000000" w:rsidR="00000000" w:rsidRPr="00000000">
        <w:rPr>
          <w:rFonts w:ascii="Symbol" w:cs="Symbol" w:eastAsia="Symbol" w:hAnsi="Symbol"/>
          <w:rtl w:val="0"/>
        </w:rPr>
        <w:t xml:space="preserve">±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cranial ultrasound)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Supply catheters, oxybutynin (dose adjusted by weight) &amp; folic acid for mother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Review skin 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Assess for orthopaedic deformities and ensure plan in place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Ask about convulsions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Other general health advice: mosquito net, vaccinations, nutrition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If ultrasound scan shows hydronephrosis or infant has urinary tract infection </w:t>
      </w:r>
      <w:sdt>
        <w:sdtPr>
          <w:id w:val="-86689241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</w:t>
          </w:r>
        </w:sdtContent>
      </w:sdt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review at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six months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above, including repeat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renal u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ltrasound scan</w:t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If no problems </w:t>
      </w:r>
      <w:sdt>
        <w:sdtPr>
          <w:id w:val="43181546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→ </w:t>
          </w:r>
        </w:sdtContent>
      </w:sdt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review at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nine months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as above</w:t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Thereafter,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six monthly reviews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as above, with annual renal tract ultrasound scan (USS).  If USS abnormal or urinary tract infection, or other concerns, review three monthly (with repeat scan) until resolved.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01.0" w:type="dxa"/>
        <w:jc w:val="left"/>
        <w:tblInd w:w="28.000000000000007" w:type="dxa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9401"/>
        <w:tblGridChange w:id="0">
          <w:tblGrid>
            <w:gridCol w:w="9401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(2)  CONTINENCE PROGRAMME (age 2½ - 3 years and beyond)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At age 2 ½ - 3 years</w:t>
      </w:r>
    </w:p>
    <w:p w:rsidR="00000000" w:rsidDel="00000000" w:rsidP="00000000" w:rsidRDefault="00000000" w:rsidRPr="00000000" w14:paraId="00000035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 for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Teach bowel washout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Reinforce CIC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technique; assess bladder volumes and pressure (&amp; is the child wet or dry?); increase catheter size as required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Assess need for oxybutynin to continue - likely to be required in the majority of children to achieve continence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Urine assessment: clear or cloudy </w:t>
      </w:r>
      <w:r w:rsidDel="00000000" w:rsidR="00000000" w:rsidRPr="00000000">
        <w:rPr>
          <w:rFonts w:ascii="Symbol" w:cs="Symbol" w:eastAsia="Symbol" w:hAnsi="Symbol"/>
          <w:color w:val="000000"/>
          <w:rtl w:val="0"/>
        </w:rPr>
        <w:t xml:space="preserve">±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urine dipstick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Renal tract ultrasound: presence of hydronephrosis Y/N, deteriorating or improving? (document result in SHIP passport)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Evaluation for hydrocephalus &amp; plot head circumference on chart in SHIP passport; check shunt function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Supply catheters, oxybutynin (adjust dose according to weight) &amp; folic acid for mother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Review skin 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Assess for orthopaedic deformities and ensure plan in place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Ask about convulsions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Other general health advice: mosquito net, vaccinations, nutrition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Review yearly (as above) from age 3 years, sooner if concerns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01.0" w:type="dxa"/>
        <w:jc w:val="left"/>
        <w:tblInd w:w="28.000000000000007" w:type="dxa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9401"/>
        <w:tblGridChange w:id="0">
          <w:tblGrid>
            <w:gridCol w:w="9401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OTHER NOTES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 children with closed spina bifida:</w:t>
      </w:r>
    </w:p>
    <w:p w:rsidR="00000000" w:rsidDel="00000000" w:rsidP="00000000" w:rsidRDefault="00000000" w:rsidRPr="00000000" w14:paraId="00000048">
      <w:pPr>
        <w:numPr>
          <w:ilvl w:val="0"/>
          <w:numId w:val="4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284" w:hanging="284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greater proportion of children with spina bifida occulta (including lipomeningocele) will have normal bladder function and achieve continence without intervention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284" w:hanging="284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Therefore, these children should have baseline ultrasound scan and urinalysis, followed by regular monitoring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284" w:hanging="284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CIC and oxybutynin should be commenced if evidence of reflux or recurrent infections…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When to check creatinine:</w:t>
      </w:r>
    </w:p>
    <w:p w:rsidR="00000000" w:rsidDel="00000000" w:rsidP="00000000" w:rsidRDefault="00000000" w:rsidRPr="00000000" w14:paraId="0000004D">
      <w:pPr>
        <w:numPr>
          <w:ilvl w:val="0"/>
          <w:numId w:val="3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Child presenting with MM at 5 years or older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and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USS shows hydronephrosis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3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Persistent hydronephrosis in spite of optimising management of the neurogenic bladder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3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Baseline at around age 15 years and then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annually if abnormal ultrasound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If creatinine elevated, frequency of monitoring determined by severity/stability of kidney disease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When to give antibiotics:</w:t>
      </w:r>
    </w:p>
    <w:p w:rsidR="00000000" w:rsidDel="00000000" w:rsidP="00000000" w:rsidRDefault="00000000" w:rsidRPr="00000000" w14:paraId="00000053">
      <w:pPr>
        <w:numPr>
          <w:ilvl w:val="0"/>
          <w:numId w:val="3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When urinary tract infection accompanied by fever (suggesting pyelonephritis)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In a child with fever, consider possible shunt infection, after excluding malaria and other common childhood infections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Role of support group members also discussed, including:</w:t>
      </w:r>
    </w:p>
    <w:p w:rsidR="00000000" w:rsidDel="00000000" w:rsidP="00000000" w:rsidRDefault="00000000" w:rsidRPr="00000000" w14:paraId="00000057">
      <w:pPr>
        <w:numPr>
          <w:ilvl w:val="0"/>
          <w:numId w:val="3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Local distribution of catheters and oxybutynin between appointments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4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Teaching bowel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4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97" w:hanging="397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Possible involvement at satellite clinics to assist CIC teaching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providing supplies,</w:t>
      </w:r>
      <w:r w:rsidDel="00000000" w:rsidR="00000000" w:rsidRPr="00000000">
        <w:rPr>
          <w:rFonts w:ascii="Calibri" w:cs="Calibri" w:eastAsia="Calibri" w:hAnsi="Calibri"/>
          <w:color w:val="e7181a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mixing oxybutynin </w:t>
      </w:r>
      <w:r w:rsidDel="00000000" w:rsidR="00000000" w:rsidRPr="00000000">
        <w:rPr>
          <w:rFonts w:ascii="Calibri" w:cs="Calibri" w:eastAsia="Calibri" w:hAnsi="Calibri"/>
          <w:color w:val="050205"/>
          <w:rtl w:val="0"/>
        </w:rPr>
        <w:t xml:space="preserve">etc.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91" w:top="1191" w:left="1191" w:right="1191" w:header="720" w:footer="62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rebuchet MS"/>
  <w:font w:name="Arial Unicode MS"/>
  <w:font w:name="Times New Roman"/>
  <w:font w:name="Arial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ymbol"/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© Child-Help International &amp; SHARE Knowledge Centre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5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6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7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8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9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0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1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2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3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4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5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6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7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8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19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0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1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2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3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4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5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6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7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8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29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0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1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2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3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4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5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6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7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8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39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0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1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2">
    <w:lvl w:ilvl="0">
      <w:start w:val="1"/>
      <w:numFmt w:val="bullet"/>
      <w:lvlText w:val="◦"/>
      <w:lvlJc w:val="left"/>
      <w:pPr>
        <w:ind w:left="284" w:hanging="284"/>
      </w:pPr>
      <w:rPr>
        <w:rFonts w:ascii="Arial" w:cs="Arial" w:eastAsia="Arial" w:hAnsi="Arial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3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4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5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6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abstractNum w:abstractNumId="47">
    <w:lvl w:ilvl="0">
      <w:start w:val="0"/>
      <w:numFmt w:val="bullet"/>
      <w:lvlText w:val="◦"/>
      <w:lvlJc w:val="left"/>
      <w:pPr>
        <w:ind w:left="0" w:firstLine="0"/>
      </w:pPr>
      <w:rPr>
        <w:rFonts w:ascii="Trebuchet MS" w:cs="Trebuchet MS" w:eastAsia="Trebuchet MS" w:hAnsi="Trebuchet MS"/>
        <w:vertAlign w:val="baseline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libri" w:cs="Calibri" w:eastAsia="Calibri" w:hAnsi="Calibri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pBdr>
          <w:top w:color="ffffff" w:space="31" w:sz="0" w:val="none"/>
          <w:left w:color="ffffff" w:space="31" w:sz="0" w:val="none"/>
          <w:bottom w:color="ffffff" w:space="31" w:sz="0" w:val="none"/>
          <w:right w:color="ffffff" w:space="31" w:sz="0" w:val="none"/>
        </w:pBdr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qFormat w:val="1"/>
    <w:rsid w:val="00E252F7"/>
    <w:pPr>
      <w:pBdr>
        <w:top w:color="ffffff" w:frame="1" w:space="31" w:sz="96" w:val="none"/>
        <w:left w:color="ffffff" w:frame="1" w:space="31" w:sz="96" w:val="none"/>
        <w:bottom w:color="ffffff" w:frame="1" w:space="31" w:sz="96" w:val="none"/>
        <w:right w:color="ffffff" w:frame="1" w:space="31" w:sz="96" w:val="none"/>
        <w:bar w:color="000000" w:space="0" w:sz="0" w:val="none"/>
      </w:pBdr>
    </w:pPr>
    <w:rPr>
      <w:rFonts w:hAnsi="Arial Unicode MS"/>
      <w:color w:val="000000"/>
      <w:sz w:val="24"/>
      <w:szCs w:val="24"/>
      <w:u w:color="000000"/>
      <w:lang w:eastAsia="en-US"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rsid w:val="00E252F7"/>
    <w:rPr>
      <w:u w:val="single"/>
    </w:rPr>
  </w:style>
  <w:style w:type="paragraph" w:styleId="Footer">
    <w:name w:val="footer"/>
    <w:basedOn w:val="Normal"/>
    <w:link w:val="FooterChar"/>
    <w:uiPriority w:val="99"/>
    <w:rsid w:val="00E252F7"/>
    <w:pPr>
      <w:tabs>
        <w:tab w:val="center" w:pos="4153"/>
        <w:tab w:val="right" w:pos="8306"/>
      </w:tabs>
    </w:pPr>
    <w:rPr>
      <w:lang w:eastAsia="en-GB"/>
    </w:r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706C7E"/>
    <w:rPr>
      <w:rFonts w:hAnsi="Arial Unicode MS"/>
      <w:color w:val="000000"/>
      <w:sz w:val="24"/>
      <w:szCs w:val="24"/>
      <w:u w:color="000000"/>
      <w:lang w:eastAsia="en-US" w:val="en-US"/>
    </w:rPr>
  </w:style>
  <w:style w:type="paragraph" w:styleId="Header">
    <w:name w:val="header"/>
    <w:basedOn w:val="Normal"/>
    <w:link w:val="HeaderChar"/>
    <w:uiPriority w:val="99"/>
    <w:rsid w:val="00934409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706C7E"/>
    <w:rPr>
      <w:rFonts w:hAnsi="Arial Unicode MS"/>
      <w:color w:val="000000"/>
      <w:sz w:val="24"/>
      <w:szCs w:val="24"/>
      <w:u w:color="000000"/>
      <w:lang w:eastAsia="en-US" w:val="en-US"/>
    </w:rPr>
  </w:style>
  <w:style w:type="numbering" w:styleId="List41" w:customStyle="1">
    <w:name w:val="List 41"/>
    <w:rsid w:val="00C738D9"/>
    <w:pPr>
      <w:numPr>
        <w:numId w:val="46"/>
      </w:numPr>
    </w:pPr>
  </w:style>
  <w:style w:type="numbering" w:styleId="List21" w:customStyle="1">
    <w:name w:val="List 21"/>
    <w:rsid w:val="00C738D9"/>
    <w:pPr>
      <w:numPr>
        <w:numId w:val="41"/>
      </w:numPr>
    </w:pPr>
  </w:style>
  <w:style w:type="numbering" w:styleId="List1" w:customStyle="1">
    <w:name w:val="List 1"/>
    <w:rsid w:val="00C738D9"/>
    <w:pPr>
      <w:numPr>
        <w:numId w:val="13"/>
      </w:numPr>
    </w:pPr>
  </w:style>
  <w:style w:type="numbering" w:styleId="List0" w:customStyle="1">
    <w:name w:val="List 0"/>
    <w:rsid w:val="00C738D9"/>
    <w:pPr>
      <w:numPr>
        <w:numId w:val="38"/>
      </w:numPr>
    </w:pPr>
  </w:style>
  <w:style w:type="numbering" w:styleId="List31" w:customStyle="1">
    <w:name w:val="List 31"/>
    <w:rsid w:val="00C738D9"/>
    <w:pPr>
      <w:numPr>
        <w:numId w:val="43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A5bpTwFolULmQ70/ZfQ9yYmNVQ==">CgMxLjAaJAoBMBIfCh0IB0IZCgVBcmltbxIQQXJpYWwgVW5pY29kZSBNUxokCgExEh8KHQgHQhkKBUFyaW1vEhBBcmlhbCBVbmljb2RlIE1TMghoLmdqZGd4czgAciExQlVwYUw4SDZTWEFFaTBQRnQzbGZvcUxzUGNrM2VLMkQ=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2015-09-30T07:40:00Z</dcterms:created>
  <dc:creator>Helen Nye</dc:creator>
</cp:coreProperties>
</file>